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58"/>
        <w:gridCol w:w="3870"/>
        <w:gridCol w:w="3600"/>
      </w:tblGrid>
      <w:tr w:rsidR="009373CF" w:rsidRPr="006B0D50" w:rsidTr="00185A77">
        <w:tc>
          <w:tcPr>
            <w:tcW w:w="3258" w:type="dxa"/>
          </w:tcPr>
          <w:p w:rsidR="009373CF" w:rsidRPr="006B0D50" w:rsidRDefault="009373CF">
            <w:r w:rsidRPr="006B0D50">
              <w:t xml:space="preserve">Central </w:t>
            </w:r>
            <w:r w:rsidRPr="006B0D50">
              <w:rPr>
                <w:b/>
              </w:rPr>
              <w:t>Angle</w:t>
            </w:r>
            <w:r w:rsidR="003953D9" w:rsidRPr="006B0D50">
              <w:t xml:space="preserve"> </w:t>
            </w:r>
          </w:p>
          <w:p w:rsidR="003953D9" w:rsidRPr="006B0D50" w:rsidRDefault="003953D9">
            <w:r w:rsidRPr="006B0D50">
              <w:t>Θ = intercepted arc</w:t>
            </w:r>
          </w:p>
          <w:p w:rsidR="009373CF" w:rsidRPr="006B0D50" w:rsidRDefault="0009510B">
            <w:r w:rsidRPr="006B0D50">
              <w:object w:dxaOrig="3570" w:dyaOrig="30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69pt" o:ole="">
                  <v:imagedata r:id="rId6" o:title=""/>
                </v:shape>
                <o:OLEObject Type="Embed" ProgID="PBrush" ShapeID="_x0000_i1025" DrawAspect="Content" ObjectID="_1461149387" r:id="rId7"/>
              </w:object>
            </w:r>
          </w:p>
        </w:tc>
        <w:tc>
          <w:tcPr>
            <w:tcW w:w="3870" w:type="dxa"/>
          </w:tcPr>
          <w:p w:rsidR="009373CF" w:rsidRPr="006B0D50" w:rsidRDefault="009373CF">
            <w:r w:rsidRPr="006B0D50">
              <w:t xml:space="preserve">Inscribed </w:t>
            </w:r>
            <w:r w:rsidRPr="006B0D50">
              <w:rPr>
                <w:b/>
              </w:rPr>
              <w:t>Angle</w:t>
            </w:r>
          </w:p>
          <w:p w:rsidR="003953D9" w:rsidRPr="006B0D50" w:rsidRDefault="003953D9">
            <w:r w:rsidRPr="006B0D50">
              <w:t>Θ = half the intercepted arc</w:t>
            </w:r>
          </w:p>
          <w:p w:rsidR="009373CF" w:rsidRPr="006B0D50" w:rsidRDefault="0009510B">
            <w:r w:rsidRPr="006B0D50">
              <w:object w:dxaOrig="3795" w:dyaOrig="3045">
                <v:shape id="_x0000_i1026" type="#_x0000_t75" style="width:83.25pt;height:66pt" o:ole="">
                  <v:imagedata r:id="rId8" o:title=""/>
                </v:shape>
                <o:OLEObject Type="Embed" ProgID="PBrush" ShapeID="_x0000_i1026" DrawAspect="Content" ObjectID="_1461149388" r:id="rId9"/>
              </w:object>
            </w:r>
          </w:p>
        </w:tc>
        <w:tc>
          <w:tcPr>
            <w:tcW w:w="3600" w:type="dxa"/>
          </w:tcPr>
          <w:p w:rsidR="009373CF" w:rsidRPr="006B0D50" w:rsidRDefault="009373CF">
            <w:r w:rsidRPr="006B0D50">
              <w:rPr>
                <w:b/>
              </w:rPr>
              <w:t>Hypotenuse</w:t>
            </w:r>
            <w:r w:rsidRPr="006B0D50">
              <w:t xml:space="preserve"> of Inscribed Right Triangle is </w:t>
            </w:r>
            <w:r w:rsidRPr="006B0D50">
              <w:rPr>
                <w:b/>
              </w:rPr>
              <w:t>Diameter</w:t>
            </w:r>
          </w:p>
          <w:p w:rsidR="009373CF" w:rsidRPr="006B0D50" w:rsidRDefault="0009510B">
            <w:r w:rsidRPr="006B0D50">
              <w:object w:dxaOrig="3015" w:dyaOrig="3090">
                <v:shape id="_x0000_i1027" type="#_x0000_t75" style="width:67.5pt;height:69pt" o:ole="">
                  <v:imagedata r:id="rId10" o:title=""/>
                </v:shape>
                <o:OLEObject Type="Embed" ProgID="PBrush" ShapeID="_x0000_i1027" DrawAspect="Content" ObjectID="_1461149389" r:id="rId11"/>
              </w:object>
            </w:r>
          </w:p>
        </w:tc>
      </w:tr>
      <w:tr w:rsidR="009373CF" w:rsidRPr="006B0D50" w:rsidTr="00185A77">
        <w:tc>
          <w:tcPr>
            <w:tcW w:w="3258" w:type="dxa"/>
          </w:tcPr>
          <w:p w:rsidR="009373CF" w:rsidRPr="006B0D50" w:rsidRDefault="009373CF">
            <w:r w:rsidRPr="006B0D50">
              <w:t xml:space="preserve">Two </w:t>
            </w:r>
            <w:r w:rsidRPr="006B0D50">
              <w:rPr>
                <w:b/>
              </w:rPr>
              <w:t>angles</w:t>
            </w:r>
            <w:r w:rsidRPr="006B0D50">
              <w:t xml:space="preserve"> that share the same</w:t>
            </w:r>
            <w:r w:rsidR="003953D9" w:rsidRPr="006B0D50">
              <w:t xml:space="preserve"> </w:t>
            </w:r>
            <w:proofErr w:type="gramStart"/>
            <w:r w:rsidR="003953D9" w:rsidRPr="006B0D50">
              <w:t xml:space="preserve">intercepted </w:t>
            </w:r>
            <w:r w:rsidRPr="006B0D50">
              <w:t xml:space="preserve"> arc</w:t>
            </w:r>
            <w:proofErr w:type="gramEnd"/>
            <w:r w:rsidRPr="006B0D50">
              <w:t xml:space="preserve"> are congruent.</w:t>
            </w:r>
          </w:p>
          <w:p w:rsidR="009373CF" w:rsidRPr="006B0D50" w:rsidRDefault="00185A77">
            <w:r w:rsidRPr="006B0D50">
              <w:object w:dxaOrig="3600" w:dyaOrig="3060">
                <v:shape id="_x0000_i1028" type="#_x0000_t75" style="width:91.5pt;height:77.25pt" o:ole="">
                  <v:imagedata r:id="rId12" o:title=""/>
                </v:shape>
                <o:OLEObject Type="Embed" ProgID="PBrush" ShapeID="_x0000_i1028" DrawAspect="Content" ObjectID="_1461149390" r:id="rId13"/>
              </w:object>
            </w:r>
          </w:p>
        </w:tc>
        <w:tc>
          <w:tcPr>
            <w:tcW w:w="3870" w:type="dxa"/>
          </w:tcPr>
          <w:p w:rsidR="009373CF" w:rsidRPr="006B0D50" w:rsidRDefault="009373CF">
            <w:r w:rsidRPr="006B0D50">
              <w:t xml:space="preserve">Opposite </w:t>
            </w:r>
            <w:r w:rsidRPr="006B0D50">
              <w:rPr>
                <w:b/>
              </w:rPr>
              <w:t>angles</w:t>
            </w:r>
            <w:r w:rsidRPr="006B0D50">
              <w:t xml:space="preserve"> of inscribed quadrilateral are supplementary.</w:t>
            </w:r>
          </w:p>
          <w:p w:rsidR="001223CC" w:rsidRPr="006B0D50" w:rsidRDefault="001223CC">
            <w:r w:rsidRPr="006B0D50">
              <w:t>a + b = 180</w:t>
            </w:r>
            <w:r w:rsidR="008253FC">
              <w:t>°</w:t>
            </w:r>
            <w:r w:rsidRPr="006B0D50">
              <w:t>; c + d = 180</w:t>
            </w:r>
            <w:r w:rsidR="008253FC">
              <w:t>°</w:t>
            </w:r>
          </w:p>
          <w:p w:rsidR="009373CF" w:rsidRPr="006B0D50" w:rsidRDefault="00185A77">
            <w:r w:rsidRPr="006B0D50">
              <w:object w:dxaOrig="3135" w:dyaOrig="3000">
                <v:shape id="_x0000_i1029" type="#_x0000_t75" style="width:78.75pt;height:75pt" o:ole="">
                  <v:imagedata r:id="rId14" o:title=""/>
                </v:shape>
                <o:OLEObject Type="Embed" ProgID="PBrush" ShapeID="_x0000_i1029" DrawAspect="Content" ObjectID="_1461149391" r:id="rId15"/>
              </w:object>
            </w:r>
          </w:p>
        </w:tc>
        <w:tc>
          <w:tcPr>
            <w:tcW w:w="3600" w:type="dxa"/>
          </w:tcPr>
          <w:p w:rsidR="009373CF" w:rsidRPr="006B0D50" w:rsidRDefault="00F930DC">
            <w:r>
              <w:t>Diameter bisects a perpendicular chord and its arc.</w:t>
            </w:r>
          </w:p>
          <w:p w:rsidR="006B0D50" w:rsidRPr="006B0D50" w:rsidRDefault="006B0D50"/>
          <w:p w:rsidR="006B0D50" w:rsidRPr="006B0D50" w:rsidRDefault="00185A77">
            <w:r w:rsidRPr="006B0D50">
              <w:object w:dxaOrig="4185" w:dyaOrig="3840">
                <v:shape id="_x0000_i1030" type="#_x0000_t75" style="width:78.75pt;height:72.75pt" o:ole="">
                  <v:imagedata r:id="rId16" o:title=""/>
                </v:shape>
                <o:OLEObject Type="Embed" ProgID="PBrush" ShapeID="_x0000_i1030" DrawAspect="Content" ObjectID="_1461149392" r:id="rId17"/>
              </w:object>
            </w:r>
          </w:p>
        </w:tc>
      </w:tr>
      <w:tr w:rsidR="006B0D50" w:rsidRPr="006B0D50" w:rsidTr="00185A77">
        <w:tc>
          <w:tcPr>
            <w:tcW w:w="3258" w:type="dxa"/>
          </w:tcPr>
          <w:p w:rsidR="006B0D50" w:rsidRDefault="00F930DC">
            <w:r>
              <w:t>Two minor arcs are congruent if their corresponding chords are congruent.</w:t>
            </w:r>
          </w:p>
          <w:p w:rsidR="006B0D50" w:rsidRPr="006B0D50" w:rsidRDefault="00185A77">
            <w:r>
              <w:object w:dxaOrig="2505" w:dyaOrig="2340">
                <v:shape id="_x0000_i1031" type="#_x0000_t75" style="width:75pt;height:69.75pt" o:ole="">
                  <v:imagedata r:id="rId18" o:title=""/>
                </v:shape>
                <o:OLEObject Type="Embed" ProgID="PBrush" ShapeID="_x0000_i1031" DrawAspect="Content" ObjectID="_1461149393" r:id="rId19"/>
              </w:object>
            </w:r>
          </w:p>
        </w:tc>
        <w:tc>
          <w:tcPr>
            <w:tcW w:w="3870" w:type="dxa"/>
          </w:tcPr>
          <w:p w:rsidR="006B0D50" w:rsidRDefault="00F930DC">
            <w:r>
              <w:t>Two chords are congruent if their midpoints are equidistant from the center.</w:t>
            </w:r>
          </w:p>
          <w:p w:rsidR="000775AD" w:rsidRPr="006B0D50" w:rsidRDefault="00185A77">
            <w:r>
              <w:object w:dxaOrig="2715" w:dyaOrig="2820">
                <v:shape id="_x0000_i1032" type="#_x0000_t75" style="width:66.75pt;height:69.75pt" o:ole="">
                  <v:imagedata r:id="rId20" o:title=""/>
                </v:shape>
                <o:OLEObject Type="Embed" ProgID="PBrush" ShapeID="_x0000_i1032" DrawAspect="Content" ObjectID="_1461149394" r:id="rId21"/>
              </w:object>
            </w:r>
          </w:p>
        </w:tc>
        <w:tc>
          <w:tcPr>
            <w:tcW w:w="3600" w:type="dxa"/>
          </w:tcPr>
          <w:p w:rsidR="006B0D50" w:rsidRDefault="00185A77">
            <w:r>
              <w:t>A tangent is perpendicular to the radius of a circle.</w:t>
            </w:r>
          </w:p>
          <w:p w:rsidR="007C0AFA" w:rsidRPr="006B0D50" w:rsidRDefault="007C0AFA">
            <w:r>
              <w:object w:dxaOrig="4260" w:dyaOrig="3000">
                <v:shape id="_x0000_i1033" type="#_x0000_t75" style="width:118.5pt;height:83.25pt" o:ole="">
                  <v:imagedata r:id="rId22" o:title=""/>
                </v:shape>
                <o:OLEObject Type="Embed" ProgID="PBrush" ShapeID="_x0000_i1033" DrawAspect="Content" ObjectID="_1461149395" r:id="rId23"/>
              </w:object>
            </w:r>
          </w:p>
        </w:tc>
      </w:tr>
      <w:tr w:rsidR="00185A77" w:rsidRPr="006B0D50" w:rsidTr="00185A77">
        <w:tc>
          <w:tcPr>
            <w:tcW w:w="3258" w:type="dxa"/>
          </w:tcPr>
          <w:p w:rsidR="00185A77" w:rsidRDefault="00185A77">
            <w:r>
              <w:t>Tangent segments from a common external point are congruent.</w:t>
            </w:r>
          </w:p>
          <w:p w:rsidR="007C0AFA" w:rsidRDefault="007C0AFA">
            <w:r>
              <w:object w:dxaOrig="4920" w:dyaOrig="3000">
                <v:shape id="_x0000_i1034" type="#_x0000_t75" style="width:123pt;height:75pt" o:ole="">
                  <v:imagedata r:id="rId24" o:title=""/>
                </v:shape>
                <o:OLEObject Type="Embed" ProgID="PBrush" ShapeID="_x0000_i1034" DrawAspect="Content" ObjectID="_1461149396" r:id="rId25"/>
              </w:object>
            </w:r>
          </w:p>
        </w:tc>
        <w:tc>
          <w:tcPr>
            <w:tcW w:w="3870" w:type="dxa"/>
          </w:tcPr>
          <w:p w:rsidR="00185A77" w:rsidRDefault="00185A77" w:rsidP="00185A7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Arc Length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A°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360°</m:t>
                    </m:r>
                  </m:den>
                </m:f>
                <m:r>
                  <w:rPr>
                    <w:rFonts w:ascii="Cambria Math" w:hAnsi="Cambria Math"/>
                  </w:rPr>
                  <m:t>(Circumference)</m:t>
                </m:r>
              </m:oMath>
            </m:oMathPara>
          </w:p>
          <w:p w:rsidR="00E95FF4" w:rsidRDefault="00E95FF4" w:rsidP="00185A77">
            <w:r>
              <w:object w:dxaOrig="3480" w:dyaOrig="2940">
                <v:shape id="_x0000_i1035" type="#_x0000_t75" style="width:102pt;height:86.25pt" o:ole="">
                  <v:imagedata r:id="rId26" o:title=""/>
                </v:shape>
                <o:OLEObject Type="Embed" ProgID="PBrush" ShapeID="_x0000_i1035" DrawAspect="Content" ObjectID="_1461149397" r:id="rId27"/>
              </w:object>
            </w:r>
          </w:p>
        </w:tc>
        <w:tc>
          <w:tcPr>
            <w:tcW w:w="3600" w:type="dxa"/>
          </w:tcPr>
          <w:p w:rsidR="00185A77" w:rsidRDefault="00185A7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Sector Area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A°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360°</m:t>
                    </m:r>
                  </m:den>
                </m:f>
                <m:r>
                  <w:rPr>
                    <w:rFonts w:ascii="Cambria Math" w:hAnsi="Cambria Math"/>
                  </w:rPr>
                  <m:t>(Area)</m:t>
                </m:r>
              </m:oMath>
            </m:oMathPara>
          </w:p>
          <w:p w:rsidR="00E95FF4" w:rsidRPr="006B0D50" w:rsidRDefault="00E95FF4">
            <w:r>
              <w:object w:dxaOrig="3225" w:dyaOrig="3045">
                <v:shape id="_x0000_i1036" type="#_x0000_t75" style="width:86.25pt;height:81.75pt" o:ole="">
                  <v:imagedata r:id="rId28" o:title=""/>
                </v:shape>
                <o:OLEObject Type="Embed" ProgID="PBrush" ShapeID="_x0000_i1036" DrawAspect="Content" ObjectID="_1461149398" r:id="rId29"/>
              </w:object>
            </w:r>
          </w:p>
        </w:tc>
      </w:tr>
      <w:tr w:rsidR="009373CF" w:rsidRPr="006B0D50" w:rsidTr="00185A77">
        <w:tc>
          <w:tcPr>
            <w:tcW w:w="3258" w:type="dxa"/>
          </w:tcPr>
          <w:p w:rsidR="009373CF" w:rsidRPr="006B0D50" w:rsidRDefault="003953D9">
            <w:r w:rsidRPr="006B0D50">
              <w:rPr>
                <w:b/>
              </w:rPr>
              <w:t>Angle</w:t>
            </w:r>
            <w:r w:rsidRPr="006B0D50">
              <w:t xml:space="preserve"> with vertex </w:t>
            </w:r>
            <w:r w:rsidRPr="006B0D50">
              <w:rPr>
                <w:b/>
              </w:rPr>
              <w:t>on</w:t>
            </w:r>
            <w:r w:rsidRPr="006B0D50">
              <w:t xml:space="preserve"> the circle </w:t>
            </w:r>
          </w:p>
          <w:p w:rsidR="003953D9" w:rsidRPr="006B0D50" w:rsidRDefault="00314888">
            <w:r w:rsidRPr="006B0D50">
              <w:t>Θ = ½ a</w:t>
            </w:r>
          </w:p>
          <w:p w:rsidR="003953D9" w:rsidRPr="006B0D50" w:rsidRDefault="00185A77">
            <w:r w:rsidRPr="006B0D50">
              <w:object w:dxaOrig="3750" w:dyaOrig="3345">
                <v:shape id="_x0000_i1037" type="#_x0000_t75" style="width:91.5pt;height:81.75pt" o:ole="">
                  <v:imagedata r:id="rId30" o:title=""/>
                </v:shape>
                <o:OLEObject Type="Embed" ProgID="PBrush" ShapeID="_x0000_i1037" DrawAspect="Content" ObjectID="_1461149399" r:id="rId31"/>
              </w:object>
            </w:r>
          </w:p>
        </w:tc>
        <w:tc>
          <w:tcPr>
            <w:tcW w:w="3870" w:type="dxa"/>
          </w:tcPr>
          <w:p w:rsidR="009373CF" w:rsidRPr="006B0D50" w:rsidRDefault="003953D9">
            <w:r w:rsidRPr="006B0D50">
              <w:rPr>
                <w:b/>
              </w:rPr>
              <w:t>Angle</w:t>
            </w:r>
            <w:r w:rsidRPr="006B0D50">
              <w:t xml:space="preserve"> with vertex </w:t>
            </w:r>
            <w:r w:rsidRPr="006B0D50">
              <w:rPr>
                <w:b/>
              </w:rPr>
              <w:t>inside</w:t>
            </w:r>
            <w:r w:rsidRPr="006B0D50">
              <w:t xml:space="preserve"> circle</w:t>
            </w:r>
          </w:p>
          <w:p w:rsidR="003953D9" w:rsidRPr="006B0D50" w:rsidRDefault="003953D9">
            <w:r w:rsidRPr="006B0D50">
              <w:t>Θ = ½ (a + b)</w:t>
            </w:r>
          </w:p>
          <w:p w:rsidR="003953D9" w:rsidRPr="006B0D50" w:rsidRDefault="00185A77">
            <w:r w:rsidRPr="006B0D50">
              <w:object w:dxaOrig="3405" w:dyaOrig="3030">
                <v:shape id="_x0000_i1038" type="#_x0000_t75" style="width:78.75pt;height:69.75pt" o:ole="">
                  <v:imagedata r:id="rId32" o:title=""/>
                </v:shape>
                <o:OLEObject Type="Embed" ProgID="PBrush" ShapeID="_x0000_i1038" DrawAspect="Content" ObjectID="_1461149400" r:id="rId33"/>
              </w:object>
            </w:r>
          </w:p>
        </w:tc>
        <w:tc>
          <w:tcPr>
            <w:tcW w:w="3600" w:type="dxa"/>
          </w:tcPr>
          <w:p w:rsidR="009373CF" w:rsidRPr="006B0D50" w:rsidRDefault="003953D9">
            <w:r w:rsidRPr="006B0D50">
              <w:rPr>
                <w:b/>
              </w:rPr>
              <w:t>Angle</w:t>
            </w:r>
            <w:r w:rsidRPr="006B0D50">
              <w:t xml:space="preserve"> with vertex </w:t>
            </w:r>
            <w:r w:rsidRPr="006B0D50">
              <w:rPr>
                <w:b/>
              </w:rPr>
              <w:t>outside</w:t>
            </w:r>
            <w:r w:rsidRPr="006B0D50">
              <w:t xml:space="preserve"> circle.</w:t>
            </w:r>
          </w:p>
          <w:p w:rsidR="003953D9" w:rsidRPr="006B0D50" w:rsidRDefault="003953D9">
            <w:r w:rsidRPr="006B0D50">
              <w:t>Θ = ½ (</w:t>
            </w:r>
            <w:r w:rsidR="00B15756" w:rsidRPr="006B0D50">
              <w:t>d - c</w:t>
            </w:r>
            <w:r w:rsidRPr="006B0D50">
              <w:t>)</w:t>
            </w:r>
          </w:p>
          <w:p w:rsidR="003953D9" w:rsidRPr="006B0D50" w:rsidRDefault="00185A77">
            <w:r w:rsidRPr="006B0D50">
              <w:object w:dxaOrig="4350" w:dyaOrig="3165">
                <v:shape id="_x0000_i1039" type="#_x0000_t75" style="width:109.5pt;height:79.5pt" o:ole="">
                  <v:imagedata r:id="rId34" o:title=""/>
                </v:shape>
                <o:OLEObject Type="Embed" ProgID="PBrush" ShapeID="_x0000_i1039" DrawAspect="Content" ObjectID="_1461149401" r:id="rId35"/>
              </w:object>
            </w:r>
          </w:p>
        </w:tc>
      </w:tr>
      <w:tr w:rsidR="009373CF" w:rsidRPr="006B0D50" w:rsidTr="00185A77">
        <w:tc>
          <w:tcPr>
            <w:tcW w:w="3258" w:type="dxa"/>
          </w:tcPr>
          <w:p w:rsidR="009373CF" w:rsidRPr="006B0D50" w:rsidRDefault="002D6DC4">
            <w:r w:rsidRPr="006B0D50">
              <w:rPr>
                <w:b/>
              </w:rPr>
              <w:t>Segments</w:t>
            </w:r>
            <w:r w:rsidRPr="006B0D50">
              <w:t xml:space="preserve"> intersecting </w:t>
            </w:r>
            <w:r w:rsidRPr="006B0D50">
              <w:rPr>
                <w:b/>
              </w:rPr>
              <w:t>inside</w:t>
            </w:r>
            <w:r w:rsidRPr="006B0D50">
              <w:t xml:space="preserve"> circle</w:t>
            </w:r>
          </w:p>
          <w:p w:rsidR="002D6DC4" w:rsidRPr="006B0D50" w:rsidRDefault="002D6DC4">
            <w:proofErr w:type="spellStart"/>
            <w:r w:rsidRPr="006B0D50">
              <w:t>ab</w:t>
            </w:r>
            <w:proofErr w:type="spellEnd"/>
            <w:r w:rsidRPr="006B0D50">
              <w:t xml:space="preserve"> = </w:t>
            </w:r>
            <w:proofErr w:type="spellStart"/>
            <w:r w:rsidRPr="006B0D50">
              <w:t>cd</w:t>
            </w:r>
            <w:proofErr w:type="spellEnd"/>
          </w:p>
          <w:p w:rsidR="002D6DC4" w:rsidRPr="006B0D50" w:rsidRDefault="000F1062">
            <w:r>
              <w:object w:dxaOrig="3090" w:dyaOrig="3000">
                <v:shape id="_x0000_i1040" type="#_x0000_t75" style="width:73.5pt;height:71.25pt" o:ole="">
                  <v:imagedata r:id="rId36" o:title=""/>
                </v:shape>
                <o:OLEObject Type="Embed" ProgID="PBrush" ShapeID="_x0000_i1040" DrawAspect="Content" ObjectID="_1461149402" r:id="rId37"/>
              </w:object>
            </w:r>
          </w:p>
        </w:tc>
        <w:tc>
          <w:tcPr>
            <w:tcW w:w="3870" w:type="dxa"/>
          </w:tcPr>
          <w:p w:rsidR="009373CF" w:rsidRPr="006B0D50" w:rsidRDefault="002D6DC4">
            <w:r w:rsidRPr="006B0D50">
              <w:rPr>
                <w:b/>
              </w:rPr>
              <w:t>Segments</w:t>
            </w:r>
            <w:r w:rsidRPr="006B0D50">
              <w:t xml:space="preserve"> intersecting </w:t>
            </w:r>
            <w:r w:rsidRPr="006B0D50">
              <w:rPr>
                <w:b/>
              </w:rPr>
              <w:t>outside</w:t>
            </w:r>
            <w:r w:rsidRPr="006B0D50">
              <w:t xml:space="preserve"> circle</w:t>
            </w:r>
          </w:p>
          <w:p w:rsidR="00F20988" w:rsidRPr="006B0D50" w:rsidRDefault="00F20988">
            <w:r w:rsidRPr="006B0D50">
              <w:t>a(</w:t>
            </w:r>
            <w:proofErr w:type="spellStart"/>
            <w:r w:rsidRPr="006B0D50">
              <w:t>a+b</w:t>
            </w:r>
            <w:proofErr w:type="spellEnd"/>
            <w:r w:rsidRPr="006B0D50">
              <w:t>) = c(</w:t>
            </w:r>
            <w:proofErr w:type="spellStart"/>
            <w:r w:rsidRPr="006B0D50">
              <w:t>c+d</w:t>
            </w:r>
            <w:proofErr w:type="spellEnd"/>
            <w:r w:rsidRPr="006B0D50">
              <w:t>)</w:t>
            </w:r>
          </w:p>
          <w:p w:rsidR="002D6DC4" w:rsidRPr="006B0D50" w:rsidRDefault="00185A77">
            <w:r w:rsidRPr="006B0D50">
              <w:object w:dxaOrig="5205" w:dyaOrig="3375">
                <v:shape id="_x0000_i1041" type="#_x0000_t75" style="width:130.5pt;height:84.75pt" o:ole="">
                  <v:imagedata r:id="rId38" o:title=""/>
                </v:shape>
                <o:OLEObject Type="Embed" ProgID="PBrush" ShapeID="_x0000_i1041" DrawAspect="Content" ObjectID="_1461149403" r:id="rId39"/>
              </w:object>
            </w:r>
          </w:p>
        </w:tc>
        <w:tc>
          <w:tcPr>
            <w:tcW w:w="3600" w:type="dxa"/>
          </w:tcPr>
          <w:p w:rsidR="009373CF" w:rsidRPr="006B0D50" w:rsidRDefault="002D6DC4">
            <w:pPr>
              <w:rPr>
                <w:b/>
              </w:rPr>
            </w:pPr>
            <w:r w:rsidRPr="006B0D50">
              <w:rPr>
                <w:b/>
              </w:rPr>
              <w:t>Tangent and segment</w:t>
            </w:r>
          </w:p>
          <w:p w:rsidR="001863CC" w:rsidRPr="006B0D50" w:rsidRDefault="001863CC">
            <w:r w:rsidRPr="006B0D50">
              <w:t>a² = b(</w:t>
            </w:r>
            <w:proofErr w:type="spellStart"/>
            <w:r w:rsidRPr="006B0D50">
              <w:t>b+c</w:t>
            </w:r>
            <w:proofErr w:type="spellEnd"/>
            <w:r w:rsidRPr="006B0D50">
              <w:t>)</w:t>
            </w:r>
          </w:p>
          <w:p w:rsidR="002D6DC4" w:rsidRPr="006B0D50" w:rsidRDefault="00185A77">
            <w:r w:rsidRPr="006B0D50">
              <w:object w:dxaOrig="4110" w:dyaOrig="3375">
                <v:shape id="_x0000_i1042" type="#_x0000_t75" style="width:98.25pt;height:80.25pt" o:ole="">
                  <v:imagedata r:id="rId40" o:title=""/>
                </v:shape>
                <o:OLEObject Type="Embed" ProgID="PBrush" ShapeID="_x0000_i1042" DrawAspect="Content" ObjectID="_1461149404" r:id="rId41"/>
              </w:object>
            </w:r>
          </w:p>
        </w:tc>
      </w:tr>
    </w:tbl>
    <w:p w:rsidR="000C2913" w:rsidRPr="006B0D50" w:rsidRDefault="000C2913"/>
    <w:sectPr w:rsidR="000C2913" w:rsidRPr="006B0D50" w:rsidSect="006B0D50">
      <w:headerReference w:type="default" r:id="rId4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54" w:rsidRDefault="002D7654" w:rsidP="00575499">
      <w:pPr>
        <w:spacing w:after="0" w:line="240" w:lineRule="auto"/>
      </w:pPr>
      <w:r>
        <w:separator/>
      </w:r>
    </w:p>
  </w:endnote>
  <w:endnote w:type="continuationSeparator" w:id="0">
    <w:p w:rsidR="002D7654" w:rsidRDefault="002D7654" w:rsidP="0057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54" w:rsidRDefault="002D7654" w:rsidP="00575499">
      <w:pPr>
        <w:spacing w:after="0" w:line="240" w:lineRule="auto"/>
      </w:pPr>
      <w:r>
        <w:separator/>
      </w:r>
    </w:p>
  </w:footnote>
  <w:footnote w:type="continuationSeparator" w:id="0">
    <w:p w:rsidR="002D7654" w:rsidRDefault="002D7654" w:rsidP="0057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99" w:rsidRPr="00575499" w:rsidRDefault="00771E5F" w:rsidP="00575499">
    <w:pPr>
      <w:pStyle w:val="Header"/>
      <w:tabs>
        <w:tab w:val="clear" w:pos="9360"/>
        <w:tab w:val="left" w:pos="8370"/>
      </w:tabs>
      <w:rPr>
        <w:b/>
        <w:sz w:val="40"/>
        <w:szCs w:val="40"/>
      </w:rPr>
    </w:pPr>
    <w:r>
      <w:rPr>
        <w:b/>
        <w:sz w:val="40"/>
        <w:szCs w:val="40"/>
      </w:rPr>
      <w:t xml:space="preserve">CIRCLE PROPERTIES/FORMULAS </w:t>
    </w:r>
    <w:proofErr w:type="gramStart"/>
    <w:r>
      <w:rPr>
        <w:b/>
        <w:sz w:val="40"/>
        <w:szCs w:val="40"/>
      </w:rPr>
      <w:t xml:space="preserve">- </w:t>
    </w:r>
    <w:r w:rsidR="002A47D4">
      <w:rPr>
        <w:b/>
        <w:sz w:val="40"/>
        <w:szCs w:val="40"/>
      </w:rPr>
      <w:t xml:space="preserve"> </w:t>
    </w:r>
    <w:r w:rsidR="00575499" w:rsidRPr="00575499">
      <w:rPr>
        <w:b/>
        <w:sz w:val="40"/>
        <w:szCs w:val="40"/>
      </w:rPr>
      <w:t>Review</w:t>
    </w:r>
    <w:proofErr w:type="gramEnd"/>
    <w:r w:rsidR="00575499" w:rsidRPr="00575499">
      <w:rPr>
        <w:b/>
        <w:sz w:val="40"/>
        <w:szCs w:val="40"/>
      </w:rPr>
      <w:t xml:space="preserve"> Sheet</w:t>
    </w:r>
    <w:r w:rsidR="00575499">
      <w:rPr>
        <w:b/>
        <w:sz w:val="40"/>
        <w:szCs w:val="4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3CF"/>
    <w:rsid w:val="0002169F"/>
    <w:rsid w:val="00024F29"/>
    <w:rsid w:val="00036B26"/>
    <w:rsid w:val="00055CF0"/>
    <w:rsid w:val="00071790"/>
    <w:rsid w:val="000775AD"/>
    <w:rsid w:val="00083E31"/>
    <w:rsid w:val="000937D2"/>
    <w:rsid w:val="0009510B"/>
    <w:rsid w:val="000B471A"/>
    <w:rsid w:val="000C2913"/>
    <w:rsid w:val="000C46C3"/>
    <w:rsid w:val="000F1062"/>
    <w:rsid w:val="000F5D73"/>
    <w:rsid w:val="0010734B"/>
    <w:rsid w:val="00110C95"/>
    <w:rsid w:val="001223CC"/>
    <w:rsid w:val="00140E7A"/>
    <w:rsid w:val="001555D7"/>
    <w:rsid w:val="00174266"/>
    <w:rsid w:val="00185A77"/>
    <w:rsid w:val="00185E76"/>
    <w:rsid w:val="001863CC"/>
    <w:rsid w:val="001A021B"/>
    <w:rsid w:val="001A6468"/>
    <w:rsid w:val="001B4B92"/>
    <w:rsid w:val="001B748F"/>
    <w:rsid w:val="001E1596"/>
    <w:rsid w:val="001E5A9E"/>
    <w:rsid w:val="001F11C5"/>
    <w:rsid w:val="00216DE3"/>
    <w:rsid w:val="00220FFF"/>
    <w:rsid w:val="00250473"/>
    <w:rsid w:val="002646BB"/>
    <w:rsid w:val="0026750E"/>
    <w:rsid w:val="00270A6C"/>
    <w:rsid w:val="00284EC6"/>
    <w:rsid w:val="00291589"/>
    <w:rsid w:val="002A1C5B"/>
    <w:rsid w:val="002A47D4"/>
    <w:rsid w:val="002B5856"/>
    <w:rsid w:val="002C4A2D"/>
    <w:rsid w:val="002D0D25"/>
    <w:rsid w:val="002D6DC4"/>
    <w:rsid w:val="002D7654"/>
    <w:rsid w:val="002F08AB"/>
    <w:rsid w:val="002F66F3"/>
    <w:rsid w:val="00314888"/>
    <w:rsid w:val="003205F6"/>
    <w:rsid w:val="00345528"/>
    <w:rsid w:val="0035103D"/>
    <w:rsid w:val="003530BF"/>
    <w:rsid w:val="00355D77"/>
    <w:rsid w:val="0037022F"/>
    <w:rsid w:val="00374C9F"/>
    <w:rsid w:val="00387396"/>
    <w:rsid w:val="00394CFC"/>
    <w:rsid w:val="003953D9"/>
    <w:rsid w:val="003A4602"/>
    <w:rsid w:val="003B0C07"/>
    <w:rsid w:val="003D68D0"/>
    <w:rsid w:val="003E1EF7"/>
    <w:rsid w:val="003F4371"/>
    <w:rsid w:val="004215AC"/>
    <w:rsid w:val="00451235"/>
    <w:rsid w:val="00460D5E"/>
    <w:rsid w:val="0047389F"/>
    <w:rsid w:val="00475C5E"/>
    <w:rsid w:val="004826F3"/>
    <w:rsid w:val="00492FE1"/>
    <w:rsid w:val="004D4466"/>
    <w:rsid w:val="004D56A7"/>
    <w:rsid w:val="004E0469"/>
    <w:rsid w:val="004F1578"/>
    <w:rsid w:val="004F3CA1"/>
    <w:rsid w:val="00507ABA"/>
    <w:rsid w:val="0055089B"/>
    <w:rsid w:val="00575499"/>
    <w:rsid w:val="005E173F"/>
    <w:rsid w:val="005E29E0"/>
    <w:rsid w:val="005E461E"/>
    <w:rsid w:val="005F6071"/>
    <w:rsid w:val="00633B4F"/>
    <w:rsid w:val="00644DD8"/>
    <w:rsid w:val="00647685"/>
    <w:rsid w:val="006673DE"/>
    <w:rsid w:val="00675889"/>
    <w:rsid w:val="00684838"/>
    <w:rsid w:val="00685C73"/>
    <w:rsid w:val="00694705"/>
    <w:rsid w:val="006A270C"/>
    <w:rsid w:val="006B0D50"/>
    <w:rsid w:val="006B22DB"/>
    <w:rsid w:val="006B40FF"/>
    <w:rsid w:val="006C1830"/>
    <w:rsid w:val="00705277"/>
    <w:rsid w:val="00733D1E"/>
    <w:rsid w:val="00744D49"/>
    <w:rsid w:val="00764975"/>
    <w:rsid w:val="00771E5F"/>
    <w:rsid w:val="00790566"/>
    <w:rsid w:val="00791222"/>
    <w:rsid w:val="007A0253"/>
    <w:rsid w:val="007A082B"/>
    <w:rsid w:val="007C0AFA"/>
    <w:rsid w:val="007E6846"/>
    <w:rsid w:val="007F3C4C"/>
    <w:rsid w:val="00801A4D"/>
    <w:rsid w:val="00801A4E"/>
    <w:rsid w:val="00813F87"/>
    <w:rsid w:val="008253FC"/>
    <w:rsid w:val="00832DA5"/>
    <w:rsid w:val="00857AA5"/>
    <w:rsid w:val="00873270"/>
    <w:rsid w:val="0089463A"/>
    <w:rsid w:val="008953CE"/>
    <w:rsid w:val="008963C8"/>
    <w:rsid w:val="008A1AEC"/>
    <w:rsid w:val="008D715E"/>
    <w:rsid w:val="008F7662"/>
    <w:rsid w:val="009059CE"/>
    <w:rsid w:val="009373CF"/>
    <w:rsid w:val="00955294"/>
    <w:rsid w:val="009719FD"/>
    <w:rsid w:val="00986A13"/>
    <w:rsid w:val="009A6EAB"/>
    <w:rsid w:val="009F2D18"/>
    <w:rsid w:val="00A0129E"/>
    <w:rsid w:val="00A055A0"/>
    <w:rsid w:val="00A13E0F"/>
    <w:rsid w:val="00A332A7"/>
    <w:rsid w:val="00A34254"/>
    <w:rsid w:val="00A62E82"/>
    <w:rsid w:val="00A74363"/>
    <w:rsid w:val="00A858DF"/>
    <w:rsid w:val="00A86EA9"/>
    <w:rsid w:val="00A91E39"/>
    <w:rsid w:val="00AB5BDE"/>
    <w:rsid w:val="00AC06C2"/>
    <w:rsid w:val="00AD0C47"/>
    <w:rsid w:val="00AD11C5"/>
    <w:rsid w:val="00AF1B56"/>
    <w:rsid w:val="00B11650"/>
    <w:rsid w:val="00B1268D"/>
    <w:rsid w:val="00B15756"/>
    <w:rsid w:val="00B351CC"/>
    <w:rsid w:val="00B4404C"/>
    <w:rsid w:val="00B57C78"/>
    <w:rsid w:val="00B7498E"/>
    <w:rsid w:val="00B9551E"/>
    <w:rsid w:val="00BC77F8"/>
    <w:rsid w:val="00BD0E71"/>
    <w:rsid w:val="00BF4AC6"/>
    <w:rsid w:val="00BF5B87"/>
    <w:rsid w:val="00C02309"/>
    <w:rsid w:val="00C34E92"/>
    <w:rsid w:val="00C34EF4"/>
    <w:rsid w:val="00C5003B"/>
    <w:rsid w:val="00C51797"/>
    <w:rsid w:val="00C54122"/>
    <w:rsid w:val="00C559B7"/>
    <w:rsid w:val="00C71C3D"/>
    <w:rsid w:val="00C71E55"/>
    <w:rsid w:val="00C7553A"/>
    <w:rsid w:val="00CB0E68"/>
    <w:rsid w:val="00D04B00"/>
    <w:rsid w:val="00D0748C"/>
    <w:rsid w:val="00D11C73"/>
    <w:rsid w:val="00D24595"/>
    <w:rsid w:val="00D32140"/>
    <w:rsid w:val="00D45A34"/>
    <w:rsid w:val="00D5327E"/>
    <w:rsid w:val="00D91635"/>
    <w:rsid w:val="00DA4531"/>
    <w:rsid w:val="00DC6A76"/>
    <w:rsid w:val="00DD22B6"/>
    <w:rsid w:val="00DD442D"/>
    <w:rsid w:val="00DE0042"/>
    <w:rsid w:val="00E0357E"/>
    <w:rsid w:val="00E300E0"/>
    <w:rsid w:val="00E330C4"/>
    <w:rsid w:val="00E8096B"/>
    <w:rsid w:val="00E80D3A"/>
    <w:rsid w:val="00E91E0A"/>
    <w:rsid w:val="00E92B52"/>
    <w:rsid w:val="00E95FF4"/>
    <w:rsid w:val="00E963B9"/>
    <w:rsid w:val="00EA23A9"/>
    <w:rsid w:val="00EB1658"/>
    <w:rsid w:val="00EB4EB6"/>
    <w:rsid w:val="00EE3E18"/>
    <w:rsid w:val="00EF30F0"/>
    <w:rsid w:val="00F05C29"/>
    <w:rsid w:val="00F20988"/>
    <w:rsid w:val="00F26537"/>
    <w:rsid w:val="00F930DC"/>
    <w:rsid w:val="00F93322"/>
    <w:rsid w:val="00FA005E"/>
    <w:rsid w:val="00FA1AF5"/>
    <w:rsid w:val="00FA6442"/>
    <w:rsid w:val="00FD5C03"/>
    <w:rsid w:val="00FF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499"/>
  </w:style>
  <w:style w:type="paragraph" w:styleId="Footer">
    <w:name w:val="footer"/>
    <w:basedOn w:val="Normal"/>
    <w:link w:val="FooterChar"/>
    <w:uiPriority w:val="99"/>
    <w:semiHidden/>
    <w:unhideWhenUsed/>
    <w:rsid w:val="005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499"/>
  </w:style>
  <w:style w:type="paragraph" w:styleId="BalloonText">
    <w:name w:val="Balloon Text"/>
    <w:basedOn w:val="Normal"/>
    <w:link w:val="BalloonTextChar"/>
    <w:uiPriority w:val="99"/>
    <w:semiHidden/>
    <w:unhideWhenUsed/>
    <w:rsid w:val="0018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png"/><Relationship Id="rId42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lshumock</dc:creator>
  <cp:lastModifiedBy>setup</cp:lastModifiedBy>
  <cp:revision>2</cp:revision>
  <cp:lastPrinted>2012-05-09T12:12:00Z</cp:lastPrinted>
  <dcterms:created xsi:type="dcterms:W3CDTF">2014-05-09T18:03:00Z</dcterms:created>
  <dcterms:modified xsi:type="dcterms:W3CDTF">2014-05-09T18:03:00Z</dcterms:modified>
</cp:coreProperties>
</file>